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hyperlink r:id="rId6">
        <w:r w:rsidDel="00000000" w:rsidR="00000000" w:rsidRPr="00000000">
          <w:rPr>
            <w:color w:val="1155cc"/>
            <w:u w:val="single"/>
            <w:rtl w:val="0"/>
          </w:rPr>
          <w:t xml:space="preserve">https://bhuvan-app1.nrsc.gov.in/rbi</w:t>
        </w:r>
      </w:hyperlink>
      <w:r w:rsidDel="00000000" w:rsidR="00000000" w:rsidRPr="00000000">
        <w:rPr>
          <w:rtl w:val="0"/>
        </w:rPr>
        <w:t xml:space="preserv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Title:  Bhuvan-Geo-tagging of Reserve Bank of India</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Navigation:Geo-tagging of Reserve Bank of India (RBI) assets is facilitated through the Bhuvan Geoportal, a collaborative initiative between the RBI and the National Remote Sensing Center (NRSC) under ISRO. This initiative employs advanced GIS technologies and the Bhuvan platform to map and efficiently manage various banking units such as Branches, ATMs, Administrative Offices, and Electronic Kiosks across India. Utilizing an Android app, precise location data is collected to visualize the spread of assets against a high-resolution image backdrop with GIS analytical capabilities. For further information, RBI Nodal Officers or Bank Nodal Officers can log in to the dedicated portal and access the NRSC page through provided navigation links. This page serves as a valuable resource for managing and monitoring RBI assets effectively.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huvan-app1.nrsc.gov.in/r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