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https://bhuvan-app1.nrsc.gov.in/agriculture/agri.php</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 - Ministry of Agriculture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Department of Agricultural Research and Education focuses on research and extension in various agricultural domains, utilizing Bhuvan mapping services for Land Resource Inventory. The Department of Animal Husbandry, Dairy, and Fisheries is divided into Animal Husbandry, Dairy, and Fisheries divisions. The Department of Agriculture and Cooperation covers aspects such as crop surveys, disaster support, mobile applications, agricultural marketing, and licenses, while River Conservation and Land Use provide maps and information on water bodies, rivers, land utilization, and wastelands.</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agriculture/agri.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